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9C210" w14:textId="147BDEA2" w:rsidR="00047796" w:rsidRPr="00DE3BFA" w:rsidRDefault="00D827CE" w:rsidP="00D827CE">
      <w:pPr>
        <w:jc w:val="center"/>
        <w:rPr>
          <w:b/>
          <w:bCs/>
          <w:u w:val="single"/>
        </w:rPr>
      </w:pPr>
      <w:r w:rsidRPr="00DE3BFA">
        <w:rPr>
          <w:b/>
          <w:bCs/>
          <w:u w:val="single"/>
        </w:rPr>
        <w:t>October 1, 2024</w:t>
      </w:r>
      <w:r w:rsidR="007F5F78">
        <w:rPr>
          <w:b/>
          <w:bCs/>
          <w:u w:val="single"/>
        </w:rPr>
        <w:t>,</w:t>
      </w:r>
      <w:r w:rsidRPr="00DE3BFA">
        <w:rPr>
          <w:b/>
          <w:bCs/>
          <w:u w:val="single"/>
        </w:rPr>
        <w:t xml:space="preserve"> AHD Nephrology Learning Objectives</w:t>
      </w:r>
    </w:p>
    <w:p w14:paraId="08A47F0F" w14:textId="77777777" w:rsidR="00D827CE" w:rsidRDefault="00D827CE" w:rsidP="00D827CE">
      <w:pPr>
        <w:jc w:val="center"/>
        <w:rPr>
          <w:b/>
          <w:bCs/>
          <w:u w:val="single"/>
        </w:rPr>
      </w:pPr>
    </w:p>
    <w:p w14:paraId="46608CB6" w14:textId="01580A72" w:rsidR="00617B74" w:rsidRPr="00617B74" w:rsidRDefault="00D827CE" w:rsidP="00617B74">
      <w:pPr>
        <w:rPr>
          <w:b/>
          <w:bCs/>
          <w:u w:val="single"/>
        </w:rPr>
      </w:pPr>
      <w:r>
        <w:rPr>
          <w:b/>
          <w:bCs/>
          <w:u w:val="single"/>
        </w:rPr>
        <w:t>Hypertension</w:t>
      </w:r>
    </w:p>
    <w:p w14:paraId="01030BFF" w14:textId="77777777" w:rsidR="00617B74" w:rsidRPr="00617B74" w:rsidRDefault="00617B74" w:rsidP="00617B74">
      <w:pPr>
        <w:numPr>
          <w:ilvl w:val="0"/>
          <w:numId w:val="5"/>
        </w:numPr>
        <w:tabs>
          <w:tab w:val="num" w:pos="720"/>
        </w:tabs>
      </w:pPr>
      <w:r w:rsidRPr="00617B74">
        <w:t>Understand the importance of standardized office BP measurements (in preference to routine office BP measurements) and the use of ambulatory or home BP monitoring to complement standardized office BP readings in the management of HTN.</w:t>
      </w:r>
    </w:p>
    <w:p w14:paraId="6CEFDBFF" w14:textId="77777777" w:rsidR="00617B74" w:rsidRPr="00617B74" w:rsidRDefault="00617B74" w:rsidP="00617B74">
      <w:pPr>
        <w:numPr>
          <w:ilvl w:val="0"/>
          <w:numId w:val="5"/>
        </w:numPr>
        <w:tabs>
          <w:tab w:val="num" w:pos="720"/>
        </w:tabs>
      </w:pPr>
      <w:r w:rsidRPr="00617B74">
        <w:t>Define normal blood pressure, stage 1 hypertension, and stage 2 hypertension, and know when to initiate pharmacological treatment for hypertension based on various guidelines (KDIGO, ACC/AHA).</w:t>
      </w:r>
    </w:p>
    <w:p w14:paraId="48D7C5D7" w14:textId="77777777" w:rsidR="00617B74" w:rsidRPr="00617B74" w:rsidRDefault="00617B74" w:rsidP="00617B74">
      <w:pPr>
        <w:numPr>
          <w:ilvl w:val="0"/>
          <w:numId w:val="5"/>
        </w:numPr>
        <w:tabs>
          <w:tab w:val="num" w:pos="720"/>
        </w:tabs>
      </w:pPr>
      <w:r w:rsidRPr="00617B74">
        <w:t>Define white coat hypertension, masked hypertension and resistant hypertension.</w:t>
      </w:r>
    </w:p>
    <w:p w14:paraId="18CDA63E" w14:textId="77777777" w:rsidR="00617B74" w:rsidRPr="00617B74" w:rsidRDefault="00617B74" w:rsidP="00617B74">
      <w:pPr>
        <w:numPr>
          <w:ilvl w:val="0"/>
          <w:numId w:val="5"/>
        </w:numPr>
        <w:tabs>
          <w:tab w:val="num" w:pos="720"/>
        </w:tabs>
      </w:pPr>
      <w:r w:rsidRPr="00617B74">
        <w:t>Describe the initial management of a patient who is diagnosed with hypertension, including lifestyle modifications and medications.</w:t>
      </w:r>
    </w:p>
    <w:p w14:paraId="246F69E6" w14:textId="77777777" w:rsidR="00617B74" w:rsidRPr="00617B74" w:rsidRDefault="00617B74" w:rsidP="00617B74">
      <w:pPr>
        <w:numPr>
          <w:ilvl w:val="0"/>
          <w:numId w:val="5"/>
        </w:numPr>
        <w:tabs>
          <w:tab w:val="num" w:pos="720"/>
        </w:tabs>
      </w:pPr>
      <w:r w:rsidRPr="00617B74">
        <w:t>Recognize the flaws and consequences of the use of race-based guidelines in hypertension management.</w:t>
      </w:r>
    </w:p>
    <w:p w14:paraId="613E5A12" w14:textId="77777777" w:rsidR="00617B74" w:rsidRPr="00617B74" w:rsidRDefault="00617B74" w:rsidP="00617B74">
      <w:pPr>
        <w:numPr>
          <w:ilvl w:val="0"/>
          <w:numId w:val="5"/>
        </w:numPr>
        <w:tabs>
          <w:tab w:val="num" w:pos="720"/>
        </w:tabs>
      </w:pPr>
      <w:r w:rsidRPr="00617B74">
        <w:t>Describe the patient that should be evaluated for secondary hypertension and know the appropriate evaluation for each condition.</w:t>
      </w:r>
    </w:p>
    <w:p w14:paraId="30124340" w14:textId="77777777" w:rsidR="00617B74" w:rsidRPr="00617B74" w:rsidRDefault="00617B74" w:rsidP="00617B74">
      <w:pPr>
        <w:numPr>
          <w:ilvl w:val="0"/>
          <w:numId w:val="5"/>
        </w:numPr>
        <w:tabs>
          <w:tab w:val="num" w:pos="720"/>
        </w:tabs>
      </w:pPr>
      <w:r w:rsidRPr="00617B74">
        <w:t>Understand hypertension management in the hospital, including the risks of over-treating hypertension in the hospital as well as guidelines for the treatment of hypertensive emergency.</w:t>
      </w:r>
    </w:p>
    <w:p w14:paraId="049D7371" w14:textId="77777777" w:rsidR="00D827CE" w:rsidRDefault="00D827CE" w:rsidP="00D827CE">
      <w:pPr>
        <w:rPr>
          <w:b/>
          <w:bCs/>
          <w:u w:val="single"/>
        </w:rPr>
      </w:pPr>
    </w:p>
    <w:p w14:paraId="04382013" w14:textId="77777777" w:rsidR="00D827CE" w:rsidRDefault="00D827CE" w:rsidP="00D827CE">
      <w:pPr>
        <w:rPr>
          <w:b/>
          <w:bCs/>
          <w:u w:val="single"/>
        </w:rPr>
      </w:pPr>
    </w:p>
    <w:p w14:paraId="5DB8FCBA" w14:textId="029F7A44" w:rsidR="00D827CE" w:rsidRDefault="00D827CE" w:rsidP="00D827CE">
      <w:pPr>
        <w:rPr>
          <w:b/>
          <w:bCs/>
          <w:u w:val="single"/>
        </w:rPr>
      </w:pPr>
      <w:r>
        <w:rPr>
          <w:b/>
          <w:bCs/>
          <w:u w:val="single"/>
        </w:rPr>
        <w:t>Chronic Kidney Disease</w:t>
      </w:r>
      <w:r w:rsidR="00DE3BFA">
        <w:rPr>
          <w:b/>
          <w:bCs/>
          <w:u w:val="single"/>
        </w:rPr>
        <w:t>:</w:t>
      </w:r>
    </w:p>
    <w:p w14:paraId="4127D154" w14:textId="0AC43502" w:rsidR="007F5F78" w:rsidRPr="007F5F78" w:rsidRDefault="007F5F78" w:rsidP="007F5F78">
      <w:pPr>
        <w:pStyle w:val="ListParagraph"/>
        <w:numPr>
          <w:ilvl w:val="1"/>
          <w:numId w:val="5"/>
        </w:numPr>
        <w:tabs>
          <w:tab w:val="clear" w:pos="1080"/>
          <w:tab w:val="num" w:pos="360"/>
        </w:tabs>
        <w:ind w:left="360"/>
      </w:pPr>
      <w:r w:rsidRPr="007F5F78">
        <w:t>Define chronic kidney disease. Describe the stages of CKD according to the GFR and albuminuria.</w:t>
      </w:r>
    </w:p>
    <w:p w14:paraId="77AA410C" w14:textId="598E581A" w:rsidR="007F5F78" w:rsidRDefault="007F5F78" w:rsidP="007F5F78">
      <w:pPr>
        <w:pStyle w:val="ListParagraph"/>
        <w:numPr>
          <w:ilvl w:val="1"/>
          <w:numId w:val="5"/>
        </w:numPr>
        <w:tabs>
          <w:tab w:val="clear" w:pos="1080"/>
          <w:tab w:val="num" w:pos="360"/>
        </w:tabs>
        <w:ind w:left="360"/>
      </w:pPr>
      <w:r w:rsidRPr="007F5F78">
        <w:t xml:space="preserve">Describe the appropriate use of creatinine and cystatin C based equations to </w:t>
      </w:r>
    </w:p>
    <w:p w14:paraId="295300FC" w14:textId="77777777" w:rsidR="007F5F78" w:rsidRDefault="007F5F78" w:rsidP="007F5F78">
      <w:pPr>
        <w:pStyle w:val="ListParagraph"/>
        <w:ind w:left="360"/>
      </w:pPr>
      <w:r w:rsidRPr="007F5F78">
        <w:t>estimate and monitor glomerular filtration rate.  Understand the harm done by historical race-based estimated GFR formulas.</w:t>
      </w:r>
    </w:p>
    <w:p w14:paraId="3790B1D5" w14:textId="1A880A00" w:rsidR="007F5F78" w:rsidRPr="007F5F78" w:rsidRDefault="007F5F78" w:rsidP="007F5F78">
      <w:pPr>
        <w:pStyle w:val="ListParagraph"/>
        <w:numPr>
          <w:ilvl w:val="1"/>
          <w:numId w:val="5"/>
        </w:numPr>
        <w:tabs>
          <w:tab w:val="clear" w:pos="1080"/>
          <w:tab w:val="num" w:pos="360"/>
        </w:tabs>
        <w:ind w:left="360"/>
      </w:pPr>
      <w:r w:rsidRPr="007F5F78">
        <w:t>Understand the cardiovascular risk to those with CKD and describe the recommendations for hypertension and hyperlipidemia for patients with CKD.</w:t>
      </w:r>
    </w:p>
    <w:p w14:paraId="3FE1026E" w14:textId="36271E1D" w:rsidR="007F5F78" w:rsidRDefault="007F5F78" w:rsidP="007F5F78">
      <w:pPr>
        <w:pStyle w:val="ListParagraph"/>
        <w:numPr>
          <w:ilvl w:val="1"/>
          <w:numId w:val="5"/>
        </w:numPr>
        <w:tabs>
          <w:tab w:val="clear" w:pos="1080"/>
          <w:tab w:val="num" w:pos="360"/>
        </w:tabs>
        <w:ind w:left="360"/>
      </w:pPr>
      <w:r w:rsidRPr="007F5F78">
        <w:t xml:space="preserve">Understand the importance ACE-I/ARBs, SGLT-2 inhibitors, mineralocorticoid </w:t>
      </w:r>
    </w:p>
    <w:p w14:paraId="45031644" w14:textId="3CF28B91" w:rsidR="007F5F78" w:rsidRPr="007F5F78" w:rsidRDefault="007F5F78" w:rsidP="007F5F78">
      <w:pPr>
        <w:pStyle w:val="ListParagraph"/>
        <w:ind w:left="360"/>
      </w:pPr>
      <w:r w:rsidRPr="007F5F78">
        <w:t>receptor blockers, and GLP-1 receptor agonists in slowing the progression of CKD and reducing cardiovascular mortality.</w:t>
      </w:r>
    </w:p>
    <w:p w14:paraId="0AF245E6" w14:textId="0B7039DC" w:rsidR="007F5F78" w:rsidRDefault="007F5F78" w:rsidP="007F5F78">
      <w:pPr>
        <w:pStyle w:val="ListParagraph"/>
        <w:numPr>
          <w:ilvl w:val="1"/>
          <w:numId w:val="5"/>
        </w:numPr>
        <w:tabs>
          <w:tab w:val="clear" w:pos="1080"/>
          <w:tab w:val="num" w:pos="360"/>
        </w:tabs>
        <w:ind w:left="360"/>
      </w:pPr>
      <w:r w:rsidRPr="007F5F78">
        <w:t xml:space="preserve">Describe the pathophysiology of renal osteodystrophy and the resulting </w:t>
      </w:r>
    </w:p>
    <w:p w14:paraId="2279F909" w14:textId="2441CA15" w:rsidR="007F5F78" w:rsidRPr="007F5F78" w:rsidRDefault="007F5F78" w:rsidP="007F5F78">
      <w:pPr>
        <w:pStyle w:val="ListParagraph"/>
        <w:ind w:left="360"/>
      </w:pPr>
      <w:r w:rsidRPr="007F5F78">
        <w:t>secondary and tertiary hyperparathyroidism.</w:t>
      </w:r>
    </w:p>
    <w:p w14:paraId="02A745AE" w14:textId="6628C58D" w:rsidR="007F5F78" w:rsidRDefault="007F5F78" w:rsidP="007F5F78">
      <w:pPr>
        <w:pStyle w:val="ListParagraph"/>
        <w:numPr>
          <w:ilvl w:val="1"/>
          <w:numId w:val="5"/>
        </w:numPr>
        <w:tabs>
          <w:tab w:val="clear" w:pos="1080"/>
          <w:tab w:val="num" w:pos="360"/>
        </w:tabs>
        <w:ind w:left="360"/>
      </w:pPr>
      <w:r w:rsidRPr="007F5F78">
        <w:t xml:space="preserve">Describe the evaluation and appropriate management of the anemia of chronic </w:t>
      </w:r>
    </w:p>
    <w:p w14:paraId="3C5388F0" w14:textId="5A2CC5A6" w:rsidR="007F5F78" w:rsidRPr="007F5F78" w:rsidRDefault="007F5F78" w:rsidP="007F5F78">
      <w:pPr>
        <w:pStyle w:val="ListParagraph"/>
        <w:ind w:left="360"/>
      </w:pPr>
      <w:r w:rsidRPr="007F5F78">
        <w:t>kidney disease including the indications for erythropoietin stimulating agents and iron supplementation.</w:t>
      </w:r>
    </w:p>
    <w:p w14:paraId="6BB941A4" w14:textId="7107ADF5" w:rsidR="007F5F78" w:rsidRPr="007F5F78" w:rsidRDefault="007F5F78" w:rsidP="007F5F78">
      <w:pPr>
        <w:ind w:left="-720" w:firstLine="720"/>
      </w:pPr>
      <w:r w:rsidRPr="007F5F78">
        <w:t xml:space="preserve">7. </w:t>
      </w:r>
      <w:r>
        <w:t xml:space="preserve">  </w:t>
      </w:r>
      <w:r w:rsidRPr="007F5F78">
        <w:t xml:space="preserve">Describe the syndrome of uremia and the indications for </w:t>
      </w:r>
      <w:r>
        <w:t xml:space="preserve">urgent </w:t>
      </w:r>
      <w:r w:rsidRPr="007F5F78">
        <w:t>dialysis.</w:t>
      </w:r>
    </w:p>
    <w:p w14:paraId="2B62AA6E" w14:textId="097CD26A" w:rsidR="00DE3BFA" w:rsidRPr="007F5F78" w:rsidRDefault="00DE3BFA" w:rsidP="007F5F78"/>
    <w:p w14:paraId="4BD289C1" w14:textId="63235B3E" w:rsidR="00D827CE" w:rsidRDefault="00D827CE" w:rsidP="00D827CE">
      <w:pPr>
        <w:rPr>
          <w:b/>
          <w:bCs/>
          <w:u w:val="single"/>
        </w:rPr>
      </w:pPr>
      <w:r>
        <w:rPr>
          <w:b/>
          <w:bCs/>
          <w:u w:val="single"/>
        </w:rPr>
        <w:t>Hyperkalemia</w:t>
      </w:r>
      <w:r w:rsidR="000F72F4">
        <w:rPr>
          <w:b/>
          <w:bCs/>
          <w:u w:val="single"/>
        </w:rPr>
        <w:t>:</w:t>
      </w:r>
    </w:p>
    <w:p w14:paraId="136EF171" w14:textId="3E2D84AE" w:rsidR="000F72F4" w:rsidRDefault="000F72F4" w:rsidP="007F5F78">
      <w:pPr>
        <w:pStyle w:val="ListParagraph"/>
        <w:numPr>
          <w:ilvl w:val="0"/>
          <w:numId w:val="4"/>
        </w:numPr>
        <w:ind w:left="360"/>
      </w:pPr>
      <w:r>
        <w:t>Describe the ECG changes seen with progressively increasing hyperkalemia and the sensitivity of the ECG in manifesting these changes.</w:t>
      </w:r>
    </w:p>
    <w:p w14:paraId="69557760" w14:textId="0A8CA1E2" w:rsidR="000F72F4" w:rsidRDefault="000F72F4" w:rsidP="007F5F78">
      <w:pPr>
        <w:pStyle w:val="ListParagraph"/>
        <w:numPr>
          <w:ilvl w:val="0"/>
          <w:numId w:val="4"/>
        </w:numPr>
        <w:ind w:left="360"/>
      </w:pPr>
      <w:r>
        <w:t>Define hyperkalemic emergency and describe the patient who needs rapid acting therapy.</w:t>
      </w:r>
    </w:p>
    <w:p w14:paraId="1FBE2B39" w14:textId="0B775E08" w:rsidR="000F72F4" w:rsidRDefault="000F72F4" w:rsidP="007F5F78">
      <w:pPr>
        <w:pStyle w:val="ListParagraph"/>
        <w:numPr>
          <w:ilvl w:val="0"/>
          <w:numId w:val="4"/>
        </w:numPr>
        <w:ind w:left="360"/>
      </w:pPr>
      <w:r>
        <w:lastRenderedPageBreak/>
        <w:t>Understand the treatment of hyperkalemic emergency including the medications used, their mechanisms of action, and the duration of action of rapid acting therapies.</w:t>
      </w:r>
    </w:p>
    <w:p w14:paraId="40B03131" w14:textId="51B4359F" w:rsidR="000F72F4" w:rsidRPr="000F72F4" w:rsidRDefault="000F72F4" w:rsidP="007F5F78">
      <w:pPr>
        <w:pStyle w:val="ListParagraph"/>
        <w:numPr>
          <w:ilvl w:val="0"/>
          <w:numId w:val="4"/>
        </w:numPr>
        <w:ind w:left="360"/>
      </w:pPr>
      <w:r>
        <w:t>Describe the drugs used to remove potassium from the body and their potential side effects.</w:t>
      </w:r>
    </w:p>
    <w:p w14:paraId="7666F80E" w14:textId="5321ABDB" w:rsidR="000F72F4" w:rsidRPr="00D827CE" w:rsidRDefault="000F72F4" w:rsidP="007F5F78">
      <w:pPr>
        <w:rPr>
          <w:b/>
          <w:bCs/>
          <w:u w:val="single"/>
        </w:rPr>
      </w:pPr>
    </w:p>
    <w:sectPr w:rsidR="000F72F4" w:rsidRPr="00D827CE" w:rsidSect="003748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42F27"/>
    <w:multiLevelType w:val="hybridMultilevel"/>
    <w:tmpl w:val="BC767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4815A5"/>
    <w:multiLevelType w:val="hybridMultilevel"/>
    <w:tmpl w:val="B4861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0B46FF"/>
    <w:multiLevelType w:val="hybridMultilevel"/>
    <w:tmpl w:val="CC1E4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BC35C9"/>
    <w:multiLevelType w:val="hybridMultilevel"/>
    <w:tmpl w:val="B810DA60"/>
    <w:lvl w:ilvl="0" w:tplc="4A9E0D7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640C3C"/>
    <w:multiLevelType w:val="multilevel"/>
    <w:tmpl w:val="AAFCF0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Theme="minorHAnsi" w:eastAsiaTheme="minorHAnsi" w:hAnsiTheme="minorHAnsi" w:cstheme="minorBidi"/>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672686061">
    <w:abstractNumId w:val="1"/>
  </w:num>
  <w:num w:numId="2" w16cid:durableId="2058701464">
    <w:abstractNumId w:val="0"/>
  </w:num>
  <w:num w:numId="3" w16cid:durableId="633948267">
    <w:abstractNumId w:val="2"/>
  </w:num>
  <w:num w:numId="4" w16cid:durableId="1667248279">
    <w:abstractNumId w:val="3"/>
  </w:num>
  <w:num w:numId="5" w16cid:durableId="17939840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7CE"/>
    <w:rsid w:val="00047796"/>
    <w:rsid w:val="000F72F4"/>
    <w:rsid w:val="00106E0A"/>
    <w:rsid w:val="00371DD9"/>
    <w:rsid w:val="003748B3"/>
    <w:rsid w:val="00402C1E"/>
    <w:rsid w:val="004408F1"/>
    <w:rsid w:val="00617B74"/>
    <w:rsid w:val="007166E2"/>
    <w:rsid w:val="007F5F78"/>
    <w:rsid w:val="009B478B"/>
    <w:rsid w:val="00B6416E"/>
    <w:rsid w:val="00D827CE"/>
    <w:rsid w:val="00DE3BFA"/>
    <w:rsid w:val="00E81B00"/>
    <w:rsid w:val="00F16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E78CC6"/>
  <w15:chartTrackingRefBased/>
  <w15:docId w15:val="{63285FA8-7678-3647-BF2F-46E0D1A5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27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27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27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27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27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27C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27C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27C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27C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7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27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27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27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27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27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27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27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27CE"/>
    <w:rPr>
      <w:rFonts w:eastAsiaTheme="majorEastAsia" w:cstheme="majorBidi"/>
      <w:color w:val="272727" w:themeColor="text1" w:themeTint="D8"/>
    </w:rPr>
  </w:style>
  <w:style w:type="paragraph" w:styleId="Title">
    <w:name w:val="Title"/>
    <w:basedOn w:val="Normal"/>
    <w:next w:val="Normal"/>
    <w:link w:val="TitleChar"/>
    <w:uiPriority w:val="10"/>
    <w:qFormat/>
    <w:rsid w:val="00D827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27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27C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27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27C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827CE"/>
    <w:rPr>
      <w:i/>
      <w:iCs/>
      <w:color w:val="404040" w:themeColor="text1" w:themeTint="BF"/>
    </w:rPr>
  </w:style>
  <w:style w:type="paragraph" w:styleId="ListParagraph">
    <w:name w:val="List Paragraph"/>
    <w:basedOn w:val="Normal"/>
    <w:uiPriority w:val="34"/>
    <w:qFormat/>
    <w:rsid w:val="00D827CE"/>
    <w:pPr>
      <w:ind w:left="720"/>
      <w:contextualSpacing/>
    </w:pPr>
  </w:style>
  <w:style w:type="character" w:styleId="IntenseEmphasis">
    <w:name w:val="Intense Emphasis"/>
    <w:basedOn w:val="DefaultParagraphFont"/>
    <w:uiPriority w:val="21"/>
    <w:qFormat/>
    <w:rsid w:val="00D827CE"/>
    <w:rPr>
      <w:i/>
      <w:iCs/>
      <w:color w:val="0F4761" w:themeColor="accent1" w:themeShade="BF"/>
    </w:rPr>
  </w:style>
  <w:style w:type="paragraph" w:styleId="IntenseQuote">
    <w:name w:val="Intense Quote"/>
    <w:basedOn w:val="Normal"/>
    <w:next w:val="Normal"/>
    <w:link w:val="IntenseQuoteChar"/>
    <w:uiPriority w:val="30"/>
    <w:qFormat/>
    <w:rsid w:val="00D827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27CE"/>
    <w:rPr>
      <w:i/>
      <w:iCs/>
      <w:color w:val="0F4761" w:themeColor="accent1" w:themeShade="BF"/>
    </w:rPr>
  </w:style>
  <w:style w:type="character" w:styleId="IntenseReference">
    <w:name w:val="Intense Reference"/>
    <w:basedOn w:val="DefaultParagraphFont"/>
    <w:uiPriority w:val="32"/>
    <w:qFormat/>
    <w:rsid w:val="00D827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388901">
      <w:bodyDiv w:val="1"/>
      <w:marLeft w:val="0"/>
      <w:marRight w:val="0"/>
      <w:marTop w:val="0"/>
      <w:marBottom w:val="0"/>
      <w:divBdr>
        <w:top w:val="none" w:sz="0" w:space="0" w:color="auto"/>
        <w:left w:val="none" w:sz="0" w:space="0" w:color="auto"/>
        <w:bottom w:val="none" w:sz="0" w:space="0" w:color="auto"/>
        <w:right w:val="none" w:sz="0" w:space="0" w:color="auto"/>
      </w:divBdr>
      <w:divsChild>
        <w:div w:id="1541094751">
          <w:marLeft w:val="0"/>
          <w:marRight w:val="0"/>
          <w:marTop w:val="0"/>
          <w:marBottom w:val="0"/>
          <w:divBdr>
            <w:top w:val="none" w:sz="0" w:space="0" w:color="auto"/>
            <w:left w:val="none" w:sz="0" w:space="0" w:color="auto"/>
            <w:bottom w:val="none" w:sz="0" w:space="0" w:color="auto"/>
            <w:right w:val="none" w:sz="0" w:space="0" w:color="auto"/>
          </w:divBdr>
        </w:div>
        <w:div w:id="28576651">
          <w:marLeft w:val="0"/>
          <w:marRight w:val="0"/>
          <w:marTop w:val="0"/>
          <w:marBottom w:val="0"/>
          <w:divBdr>
            <w:top w:val="none" w:sz="0" w:space="0" w:color="auto"/>
            <w:left w:val="none" w:sz="0" w:space="0" w:color="auto"/>
            <w:bottom w:val="none" w:sz="0" w:space="0" w:color="auto"/>
            <w:right w:val="none" w:sz="0" w:space="0" w:color="auto"/>
          </w:divBdr>
        </w:div>
        <w:div w:id="1418936464">
          <w:marLeft w:val="0"/>
          <w:marRight w:val="0"/>
          <w:marTop w:val="0"/>
          <w:marBottom w:val="0"/>
          <w:divBdr>
            <w:top w:val="none" w:sz="0" w:space="0" w:color="auto"/>
            <w:left w:val="none" w:sz="0" w:space="0" w:color="auto"/>
            <w:bottom w:val="none" w:sz="0" w:space="0" w:color="auto"/>
            <w:right w:val="none" w:sz="0" w:space="0" w:color="auto"/>
          </w:divBdr>
        </w:div>
        <w:div w:id="2058701017">
          <w:marLeft w:val="0"/>
          <w:marRight w:val="0"/>
          <w:marTop w:val="0"/>
          <w:marBottom w:val="0"/>
          <w:divBdr>
            <w:top w:val="none" w:sz="0" w:space="0" w:color="auto"/>
            <w:left w:val="none" w:sz="0" w:space="0" w:color="auto"/>
            <w:bottom w:val="none" w:sz="0" w:space="0" w:color="auto"/>
            <w:right w:val="none" w:sz="0" w:space="0" w:color="auto"/>
          </w:divBdr>
        </w:div>
        <w:div w:id="962149909">
          <w:marLeft w:val="0"/>
          <w:marRight w:val="0"/>
          <w:marTop w:val="0"/>
          <w:marBottom w:val="0"/>
          <w:divBdr>
            <w:top w:val="none" w:sz="0" w:space="0" w:color="auto"/>
            <w:left w:val="none" w:sz="0" w:space="0" w:color="auto"/>
            <w:bottom w:val="none" w:sz="0" w:space="0" w:color="auto"/>
            <w:right w:val="none" w:sz="0" w:space="0" w:color="auto"/>
          </w:divBdr>
        </w:div>
        <w:div w:id="1008944721">
          <w:marLeft w:val="0"/>
          <w:marRight w:val="0"/>
          <w:marTop w:val="0"/>
          <w:marBottom w:val="0"/>
          <w:divBdr>
            <w:top w:val="none" w:sz="0" w:space="0" w:color="auto"/>
            <w:left w:val="none" w:sz="0" w:space="0" w:color="auto"/>
            <w:bottom w:val="none" w:sz="0" w:space="0" w:color="auto"/>
            <w:right w:val="none" w:sz="0" w:space="0" w:color="auto"/>
          </w:divBdr>
        </w:div>
        <w:div w:id="816800882">
          <w:marLeft w:val="0"/>
          <w:marRight w:val="0"/>
          <w:marTop w:val="0"/>
          <w:marBottom w:val="0"/>
          <w:divBdr>
            <w:top w:val="none" w:sz="0" w:space="0" w:color="auto"/>
            <w:left w:val="none" w:sz="0" w:space="0" w:color="auto"/>
            <w:bottom w:val="none" w:sz="0" w:space="0" w:color="auto"/>
            <w:right w:val="none" w:sz="0" w:space="0" w:color="auto"/>
          </w:divBdr>
        </w:div>
        <w:div w:id="418718049">
          <w:marLeft w:val="0"/>
          <w:marRight w:val="0"/>
          <w:marTop w:val="0"/>
          <w:marBottom w:val="0"/>
          <w:divBdr>
            <w:top w:val="none" w:sz="0" w:space="0" w:color="auto"/>
            <w:left w:val="none" w:sz="0" w:space="0" w:color="auto"/>
            <w:bottom w:val="none" w:sz="0" w:space="0" w:color="auto"/>
            <w:right w:val="none" w:sz="0" w:space="0" w:color="auto"/>
          </w:divBdr>
        </w:div>
      </w:divsChild>
    </w:div>
    <w:div w:id="587155649">
      <w:bodyDiv w:val="1"/>
      <w:marLeft w:val="0"/>
      <w:marRight w:val="0"/>
      <w:marTop w:val="0"/>
      <w:marBottom w:val="0"/>
      <w:divBdr>
        <w:top w:val="none" w:sz="0" w:space="0" w:color="auto"/>
        <w:left w:val="none" w:sz="0" w:space="0" w:color="auto"/>
        <w:bottom w:val="none" w:sz="0" w:space="0" w:color="auto"/>
        <w:right w:val="none" w:sz="0" w:space="0" w:color="auto"/>
      </w:divBdr>
      <w:divsChild>
        <w:div w:id="523445383">
          <w:marLeft w:val="0"/>
          <w:marRight w:val="0"/>
          <w:marTop w:val="0"/>
          <w:marBottom w:val="0"/>
          <w:divBdr>
            <w:top w:val="none" w:sz="0" w:space="0" w:color="auto"/>
            <w:left w:val="none" w:sz="0" w:space="0" w:color="auto"/>
            <w:bottom w:val="none" w:sz="0" w:space="0" w:color="auto"/>
            <w:right w:val="none" w:sz="0" w:space="0" w:color="auto"/>
          </w:divBdr>
        </w:div>
        <w:div w:id="1609965564">
          <w:marLeft w:val="0"/>
          <w:marRight w:val="0"/>
          <w:marTop w:val="0"/>
          <w:marBottom w:val="0"/>
          <w:divBdr>
            <w:top w:val="none" w:sz="0" w:space="0" w:color="auto"/>
            <w:left w:val="none" w:sz="0" w:space="0" w:color="auto"/>
            <w:bottom w:val="none" w:sz="0" w:space="0" w:color="auto"/>
            <w:right w:val="none" w:sz="0" w:space="0" w:color="auto"/>
          </w:divBdr>
        </w:div>
      </w:divsChild>
    </w:div>
    <w:div w:id="1148671059">
      <w:bodyDiv w:val="1"/>
      <w:marLeft w:val="0"/>
      <w:marRight w:val="0"/>
      <w:marTop w:val="0"/>
      <w:marBottom w:val="0"/>
      <w:divBdr>
        <w:top w:val="none" w:sz="0" w:space="0" w:color="auto"/>
        <w:left w:val="none" w:sz="0" w:space="0" w:color="auto"/>
        <w:bottom w:val="none" w:sz="0" w:space="0" w:color="auto"/>
        <w:right w:val="none" w:sz="0" w:space="0" w:color="auto"/>
      </w:divBdr>
      <w:divsChild>
        <w:div w:id="618992521">
          <w:marLeft w:val="0"/>
          <w:marRight w:val="0"/>
          <w:marTop w:val="0"/>
          <w:marBottom w:val="0"/>
          <w:divBdr>
            <w:top w:val="none" w:sz="0" w:space="0" w:color="auto"/>
            <w:left w:val="none" w:sz="0" w:space="0" w:color="auto"/>
            <w:bottom w:val="none" w:sz="0" w:space="0" w:color="auto"/>
            <w:right w:val="none" w:sz="0" w:space="0" w:color="auto"/>
          </w:divBdr>
        </w:div>
        <w:div w:id="261884427">
          <w:marLeft w:val="0"/>
          <w:marRight w:val="0"/>
          <w:marTop w:val="0"/>
          <w:marBottom w:val="0"/>
          <w:divBdr>
            <w:top w:val="none" w:sz="0" w:space="0" w:color="auto"/>
            <w:left w:val="none" w:sz="0" w:space="0" w:color="auto"/>
            <w:bottom w:val="none" w:sz="0" w:space="0" w:color="auto"/>
            <w:right w:val="none" w:sz="0" w:space="0" w:color="auto"/>
          </w:divBdr>
        </w:div>
      </w:divsChild>
    </w:div>
    <w:div w:id="1778866437">
      <w:bodyDiv w:val="1"/>
      <w:marLeft w:val="0"/>
      <w:marRight w:val="0"/>
      <w:marTop w:val="0"/>
      <w:marBottom w:val="0"/>
      <w:divBdr>
        <w:top w:val="none" w:sz="0" w:space="0" w:color="auto"/>
        <w:left w:val="none" w:sz="0" w:space="0" w:color="auto"/>
        <w:bottom w:val="none" w:sz="0" w:space="0" w:color="auto"/>
        <w:right w:val="none" w:sz="0" w:space="0" w:color="auto"/>
      </w:divBdr>
      <w:divsChild>
        <w:div w:id="532620166">
          <w:marLeft w:val="0"/>
          <w:marRight w:val="0"/>
          <w:marTop w:val="0"/>
          <w:marBottom w:val="0"/>
          <w:divBdr>
            <w:top w:val="none" w:sz="0" w:space="0" w:color="auto"/>
            <w:left w:val="none" w:sz="0" w:space="0" w:color="auto"/>
            <w:bottom w:val="none" w:sz="0" w:space="0" w:color="auto"/>
            <w:right w:val="none" w:sz="0" w:space="0" w:color="auto"/>
          </w:divBdr>
        </w:div>
        <w:div w:id="1691104699">
          <w:marLeft w:val="0"/>
          <w:marRight w:val="0"/>
          <w:marTop w:val="0"/>
          <w:marBottom w:val="0"/>
          <w:divBdr>
            <w:top w:val="none" w:sz="0" w:space="0" w:color="auto"/>
            <w:left w:val="none" w:sz="0" w:space="0" w:color="auto"/>
            <w:bottom w:val="none" w:sz="0" w:space="0" w:color="auto"/>
            <w:right w:val="none" w:sz="0" w:space="0" w:color="auto"/>
          </w:divBdr>
        </w:div>
        <w:div w:id="1557203430">
          <w:marLeft w:val="0"/>
          <w:marRight w:val="0"/>
          <w:marTop w:val="0"/>
          <w:marBottom w:val="0"/>
          <w:divBdr>
            <w:top w:val="none" w:sz="0" w:space="0" w:color="auto"/>
            <w:left w:val="none" w:sz="0" w:space="0" w:color="auto"/>
            <w:bottom w:val="none" w:sz="0" w:space="0" w:color="auto"/>
            <w:right w:val="none" w:sz="0" w:space="0" w:color="auto"/>
          </w:divBdr>
        </w:div>
        <w:div w:id="1407725103">
          <w:marLeft w:val="0"/>
          <w:marRight w:val="0"/>
          <w:marTop w:val="0"/>
          <w:marBottom w:val="0"/>
          <w:divBdr>
            <w:top w:val="none" w:sz="0" w:space="0" w:color="auto"/>
            <w:left w:val="none" w:sz="0" w:space="0" w:color="auto"/>
            <w:bottom w:val="none" w:sz="0" w:space="0" w:color="auto"/>
            <w:right w:val="none" w:sz="0" w:space="0" w:color="auto"/>
          </w:divBdr>
        </w:div>
        <w:div w:id="1601836457">
          <w:marLeft w:val="0"/>
          <w:marRight w:val="0"/>
          <w:marTop w:val="0"/>
          <w:marBottom w:val="0"/>
          <w:divBdr>
            <w:top w:val="none" w:sz="0" w:space="0" w:color="auto"/>
            <w:left w:val="none" w:sz="0" w:space="0" w:color="auto"/>
            <w:bottom w:val="none" w:sz="0" w:space="0" w:color="auto"/>
            <w:right w:val="none" w:sz="0" w:space="0" w:color="auto"/>
          </w:divBdr>
        </w:div>
        <w:div w:id="311448614">
          <w:marLeft w:val="0"/>
          <w:marRight w:val="0"/>
          <w:marTop w:val="0"/>
          <w:marBottom w:val="0"/>
          <w:divBdr>
            <w:top w:val="none" w:sz="0" w:space="0" w:color="auto"/>
            <w:left w:val="none" w:sz="0" w:space="0" w:color="auto"/>
            <w:bottom w:val="none" w:sz="0" w:space="0" w:color="auto"/>
            <w:right w:val="none" w:sz="0" w:space="0" w:color="auto"/>
          </w:divBdr>
        </w:div>
        <w:div w:id="1558273372">
          <w:marLeft w:val="0"/>
          <w:marRight w:val="0"/>
          <w:marTop w:val="0"/>
          <w:marBottom w:val="0"/>
          <w:divBdr>
            <w:top w:val="none" w:sz="0" w:space="0" w:color="auto"/>
            <w:left w:val="none" w:sz="0" w:space="0" w:color="auto"/>
            <w:bottom w:val="none" w:sz="0" w:space="0" w:color="auto"/>
            <w:right w:val="none" w:sz="0" w:space="0" w:color="auto"/>
          </w:divBdr>
        </w:div>
        <w:div w:id="1164324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Shinar</dc:creator>
  <cp:keywords/>
  <dc:description/>
  <cp:lastModifiedBy>Ron Shinar</cp:lastModifiedBy>
  <cp:revision>2</cp:revision>
  <dcterms:created xsi:type="dcterms:W3CDTF">2024-09-27T20:27:00Z</dcterms:created>
  <dcterms:modified xsi:type="dcterms:W3CDTF">2024-09-27T20:27:00Z</dcterms:modified>
</cp:coreProperties>
</file>