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5920" w14:textId="77777777" w:rsidR="000566ED" w:rsidRDefault="001E6DFB" w:rsidP="001E6DFB">
      <w:pPr>
        <w:jc w:val="center"/>
        <w:rPr>
          <w:b/>
          <w:bCs/>
          <w:u w:val="single"/>
        </w:rPr>
      </w:pPr>
      <w:r w:rsidRPr="001E6DFB">
        <w:rPr>
          <w:b/>
          <w:bCs/>
          <w:u w:val="single"/>
        </w:rPr>
        <w:t>AHD September 3, 2024</w:t>
      </w:r>
    </w:p>
    <w:p w14:paraId="236C63F0" w14:textId="25B47071" w:rsidR="00047796" w:rsidRDefault="001E6DFB" w:rsidP="001E6DFB">
      <w:pPr>
        <w:jc w:val="center"/>
        <w:rPr>
          <w:b/>
          <w:bCs/>
          <w:u w:val="single"/>
        </w:rPr>
      </w:pPr>
      <w:r w:rsidRPr="001E6DFB">
        <w:rPr>
          <w:b/>
          <w:bCs/>
          <w:u w:val="single"/>
        </w:rPr>
        <w:t>Learning Objectives</w:t>
      </w:r>
    </w:p>
    <w:p w14:paraId="129E276B" w14:textId="77777777" w:rsidR="001E6DFB" w:rsidRDefault="001E6DFB" w:rsidP="001E6DFB">
      <w:pPr>
        <w:jc w:val="center"/>
        <w:rPr>
          <w:b/>
          <w:bCs/>
          <w:u w:val="single"/>
        </w:rPr>
      </w:pPr>
    </w:p>
    <w:p w14:paraId="530A6A3F" w14:textId="77777777" w:rsidR="000566ED" w:rsidRDefault="000566ED" w:rsidP="0041555B">
      <w:pPr>
        <w:rPr>
          <w:b/>
          <w:bCs/>
          <w:u w:val="single"/>
        </w:rPr>
      </w:pPr>
    </w:p>
    <w:p w14:paraId="4D8D767A" w14:textId="3D49CB56" w:rsidR="0041555B" w:rsidRDefault="0041555B" w:rsidP="0041555B">
      <w:pPr>
        <w:rPr>
          <w:b/>
          <w:bCs/>
          <w:u w:val="single"/>
        </w:rPr>
      </w:pPr>
      <w:r>
        <w:rPr>
          <w:b/>
          <w:bCs/>
          <w:u w:val="single"/>
        </w:rPr>
        <w:t>Iron Metabolism</w:t>
      </w:r>
    </w:p>
    <w:p w14:paraId="47070986" w14:textId="77777777" w:rsidR="0041555B" w:rsidRPr="002808B4" w:rsidRDefault="0041555B" w:rsidP="0041555B">
      <w:pPr>
        <w:pStyle w:val="ListParagraph"/>
        <w:numPr>
          <w:ilvl w:val="0"/>
          <w:numId w:val="2"/>
        </w:numPr>
        <w:rPr>
          <w:rFonts w:asciiTheme="majorHAnsi" w:eastAsia="Times New Roman" w:hAnsiTheme="majorHAnsi" w:cstheme="majorHAnsi"/>
        </w:rPr>
      </w:pPr>
      <w:r w:rsidRPr="002808B4">
        <w:rPr>
          <w:rFonts w:asciiTheme="majorHAnsi" w:eastAsia="Times New Roman" w:hAnsiTheme="majorHAnsi" w:cstheme="majorHAnsi"/>
        </w:rPr>
        <w:t xml:space="preserve">Describe several causes of iron malabsorption. </w:t>
      </w:r>
      <w:r>
        <w:rPr>
          <w:rFonts w:asciiTheme="majorHAnsi" w:eastAsia="Times New Roman" w:hAnsiTheme="majorHAnsi" w:cstheme="majorHAnsi"/>
        </w:rPr>
        <w:t>(</w:t>
      </w:r>
      <w:r w:rsidRPr="002808B4">
        <w:rPr>
          <w:rFonts w:asciiTheme="majorHAnsi" w:eastAsia="Times New Roman" w:hAnsiTheme="majorHAnsi" w:cstheme="majorHAnsi"/>
        </w:rPr>
        <w:t>Note that this is a less common reason for iron deficiency than blood loss, but it should be included in your differential of iron deficiency states.</w:t>
      </w:r>
      <w:r>
        <w:rPr>
          <w:rFonts w:asciiTheme="majorHAnsi" w:eastAsia="Times New Roman" w:hAnsiTheme="majorHAnsi" w:cstheme="majorHAnsi"/>
        </w:rPr>
        <w:t>)</w:t>
      </w:r>
      <w:r w:rsidRPr="002808B4">
        <w:rPr>
          <w:rFonts w:asciiTheme="majorHAnsi" w:eastAsia="Times New Roman" w:hAnsiTheme="majorHAnsi" w:cstheme="majorHAnsi"/>
        </w:rPr>
        <w:t xml:space="preserve"> </w:t>
      </w:r>
    </w:p>
    <w:p w14:paraId="74054666" w14:textId="77777777" w:rsidR="0041555B" w:rsidRPr="002808B4" w:rsidRDefault="0041555B" w:rsidP="0041555B">
      <w:pPr>
        <w:pStyle w:val="ListParagraph"/>
        <w:numPr>
          <w:ilvl w:val="0"/>
          <w:numId w:val="2"/>
        </w:numPr>
        <w:rPr>
          <w:rFonts w:asciiTheme="majorHAnsi" w:eastAsia="Times New Roman" w:hAnsiTheme="majorHAnsi" w:cstheme="majorHAnsi"/>
        </w:rPr>
      </w:pPr>
      <w:r w:rsidRPr="002808B4">
        <w:rPr>
          <w:rFonts w:asciiTheme="majorHAnsi" w:eastAsia="Times New Roman" w:hAnsiTheme="majorHAnsi" w:cstheme="majorHAnsi"/>
        </w:rPr>
        <w:t xml:space="preserve">Distinguish between iron deficiency anemia and anemia of chronic disease based on </w:t>
      </w:r>
      <w:r>
        <w:rPr>
          <w:rFonts w:asciiTheme="majorHAnsi" w:eastAsia="Times New Roman" w:hAnsiTheme="majorHAnsi" w:cstheme="majorHAnsi"/>
        </w:rPr>
        <w:t xml:space="preserve">clinical </w:t>
      </w:r>
      <w:r w:rsidRPr="002808B4">
        <w:rPr>
          <w:rFonts w:asciiTheme="majorHAnsi" w:eastAsia="Times New Roman" w:hAnsiTheme="majorHAnsi" w:cstheme="majorHAnsi"/>
        </w:rPr>
        <w:t xml:space="preserve">pre-test probability and laboratory studies including ferritin, transferrin, </w:t>
      </w:r>
      <w:r>
        <w:rPr>
          <w:rFonts w:asciiTheme="majorHAnsi" w:eastAsia="Times New Roman" w:hAnsiTheme="majorHAnsi" w:cstheme="majorHAnsi"/>
        </w:rPr>
        <w:t>TIBC</w:t>
      </w:r>
      <w:r w:rsidRPr="002808B4">
        <w:rPr>
          <w:rFonts w:asciiTheme="majorHAnsi" w:eastAsia="Times New Roman" w:hAnsiTheme="majorHAnsi" w:cstheme="majorHAnsi"/>
        </w:rPr>
        <w:t xml:space="preserve"> percent saturation</w:t>
      </w:r>
      <w:r>
        <w:rPr>
          <w:rFonts w:asciiTheme="majorHAnsi" w:eastAsia="Times New Roman" w:hAnsiTheme="majorHAnsi" w:cstheme="majorHAnsi"/>
        </w:rPr>
        <w:t>, and soluble transferrin receptor.</w:t>
      </w:r>
    </w:p>
    <w:p w14:paraId="096AA667" w14:textId="77777777" w:rsidR="0041555B" w:rsidRPr="002808B4" w:rsidRDefault="0041555B" w:rsidP="0041555B">
      <w:pPr>
        <w:pStyle w:val="ListParagraph"/>
        <w:numPr>
          <w:ilvl w:val="0"/>
          <w:numId w:val="2"/>
        </w:numPr>
        <w:rPr>
          <w:rFonts w:asciiTheme="majorHAnsi" w:eastAsia="Times New Roman" w:hAnsiTheme="majorHAnsi" w:cstheme="majorHAnsi"/>
        </w:rPr>
      </w:pPr>
      <w:r w:rsidRPr="002808B4">
        <w:rPr>
          <w:rFonts w:asciiTheme="majorHAnsi" w:eastAsia="Times New Roman" w:hAnsiTheme="majorHAnsi" w:cstheme="majorHAnsi"/>
        </w:rPr>
        <w:t xml:space="preserve">Describe the roles of each of the following in iron metabolism: hepcidin, ferritin, transferrin. </w:t>
      </w:r>
      <w:r>
        <w:rPr>
          <w:rFonts w:asciiTheme="majorHAnsi" w:eastAsia="Times New Roman" w:hAnsiTheme="majorHAnsi" w:cstheme="majorHAnsi"/>
        </w:rPr>
        <w:t>Know what</w:t>
      </w:r>
      <w:r w:rsidRPr="002808B4">
        <w:rPr>
          <w:rFonts w:asciiTheme="majorHAnsi" w:eastAsia="Times New Roman" w:hAnsiTheme="majorHAnsi" w:cstheme="majorHAnsi"/>
        </w:rPr>
        <w:t xml:space="preserve"> happens to each of these molecules during periods of prolonged inflammation</w:t>
      </w:r>
      <w:r>
        <w:rPr>
          <w:rFonts w:asciiTheme="majorHAnsi" w:eastAsia="Times New Roman" w:hAnsiTheme="majorHAnsi" w:cstheme="majorHAnsi"/>
        </w:rPr>
        <w:t>.</w:t>
      </w:r>
    </w:p>
    <w:p w14:paraId="5B7E6DBF" w14:textId="77777777" w:rsidR="0041555B" w:rsidRPr="002808B4" w:rsidRDefault="0041555B" w:rsidP="0041555B">
      <w:pPr>
        <w:pStyle w:val="ListParagraph"/>
        <w:numPr>
          <w:ilvl w:val="0"/>
          <w:numId w:val="2"/>
        </w:numPr>
        <w:rPr>
          <w:rFonts w:asciiTheme="majorHAnsi" w:eastAsia="Times New Roman" w:hAnsiTheme="majorHAnsi" w:cstheme="majorHAnsi"/>
        </w:rPr>
      </w:pPr>
      <w:r>
        <w:rPr>
          <w:rFonts w:asciiTheme="majorHAnsi" w:eastAsia="Times New Roman" w:hAnsiTheme="majorHAnsi" w:cstheme="majorHAnsi"/>
        </w:rPr>
        <w:t>D</w:t>
      </w:r>
      <w:r w:rsidRPr="002808B4">
        <w:rPr>
          <w:rFonts w:asciiTheme="majorHAnsi" w:eastAsia="Times New Roman" w:hAnsiTheme="majorHAnsi" w:cstheme="majorHAnsi"/>
        </w:rPr>
        <w:t xml:space="preserve">escribe the consequences of iron overload to </w:t>
      </w:r>
      <w:r>
        <w:rPr>
          <w:rFonts w:asciiTheme="majorHAnsi" w:eastAsia="Times New Roman" w:hAnsiTheme="majorHAnsi" w:cstheme="majorHAnsi"/>
        </w:rPr>
        <w:t xml:space="preserve">the </w:t>
      </w:r>
      <w:r w:rsidRPr="002808B4">
        <w:rPr>
          <w:rFonts w:asciiTheme="majorHAnsi" w:eastAsia="Times New Roman" w:hAnsiTheme="majorHAnsi" w:cstheme="majorHAnsi"/>
        </w:rPr>
        <w:t xml:space="preserve">organs of   </w:t>
      </w:r>
    </w:p>
    <w:p w14:paraId="1C45184C" w14:textId="77777777" w:rsidR="0041555B" w:rsidRDefault="0041555B" w:rsidP="0041555B">
      <w:pPr>
        <w:ind w:firstLine="360"/>
        <w:rPr>
          <w:rFonts w:asciiTheme="majorHAnsi" w:eastAsia="Times New Roman" w:hAnsiTheme="majorHAnsi" w:cstheme="majorHAnsi"/>
        </w:rPr>
      </w:pPr>
      <w:r>
        <w:rPr>
          <w:rFonts w:asciiTheme="majorHAnsi" w:eastAsia="Times New Roman" w:hAnsiTheme="majorHAnsi" w:cstheme="majorHAnsi"/>
        </w:rPr>
        <w:t xml:space="preserve">       </w:t>
      </w:r>
      <w:r w:rsidRPr="00C61A88">
        <w:rPr>
          <w:rFonts w:asciiTheme="majorHAnsi" w:eastAsia="Times New Roman" w:hAnsiTheme="majorHAnsi" w:cstheme="majorHAnsi"/>
        </w:rPr>
        <w:t xml:space="preserve">the body. </w:t>
      </w:r>
    </w:p>
    <w:p w14:paraId="21C1E245" w14:textId="77777777" w:rsidR="0041555B" w:rsidRPr="002808B4" w:rsidRDefault="0041555B" w:rsidP="0041555B">
      <w:pPr>
        <w:pStyle w:val="ListParagraph"/>
        <w:numPr>
          <w:ilvl w:val="0"/>
          <w:numId w:val="2"/>
        </w:numPr>
        <w:rPr>
          <w:rFonts w:asciiTheme="majorHAnsi" w:eastAsia="Times New Roman" w:hAnsiTheme="majorHAnsi" w:cstheme="majorHAnsi"/>
        </w:rPr>
      </w:pPr>
      <w:r w:rsidRPr="002808B4">
        <w:rPr>
          <w:rFonts w:asciiTheme="majorHAnsi" w:eastAsia="Times New Roman" w:hAnsiTheme="majorHAnsi" w:cstheme="majorHAnsi"/>
        </w:rPr>
        <w:t xml:space="preserve">Describe the clues that may alert a clinician to hemochromatosis both by clinical findings (symptoms) and laboratory findings. </w:t>
      </w:r>
    </w:p>
    <w:p w14:paraId="1026600E" w14:textId="77777777" w:rsidR="001E6DFB" w:rsidRDefault="001E6DFB" w:rsidP="001E6DFB">
      <w:pPr>
        <w:pStyle w:val="xli1"/>
        <w:spacing w:before="0" w:beforeAutospacing="0" w:after="0" w:afterAutospacing="0"/>
        <w:rPr>
          <w:rFonts w:asciiTheme="majorHAnsi" w:hAnsiTheme="majorHAnsi" w:cstheme="majorHAnsi"/>
          <w:b/>
          <w:bCs/>
          <w:color w:val="212121"/>
          <w:u w:val="single"/>
        </w:rPr>
      </w:pPr>
    </w:p>
    <w:p w14:paraId="4C4A3162" w14:textId="77777777" w:rsidR="000566ED" w:rsidRDefault="000566ED" w:rsidP="000566ED">
      <w:pPr>
        <w:rPr>
          <w:b/>
          <w:bCs/>
          <w:u w:val="single"/>
        </w:rPr>
      </w:pPr>
      <w:r>
        <w:rPr>
          <w:b/>
          <w:bCs/>
          <w:u w:val="single"/>
        </w:rPr>
        <w:t>Anemia Cases</w:t>
      </w:r>
    </w:p>
    <w:p w14:paraId="55554AFA" w14:textId="77777777" w:rsidR="000566ED" w:rsidRPr="007855A4" w:rsidRDefault="000566ED" w:rsidP="000566ED">
      <w:pPr>
        <w:pStyle w:val="ListParagraph"/>
        <w:numPr>
          <w:ilvl w:val="0"/>
          <w:numId w:val="3"/>
        </w:numPr>
        <w:ind w:left="648"/>
        <w:rPr>
          <w:rFonts w:asciiTheme="majorHAnsi" w:eastAsia="Times New Roman" w:hAnsiTheme="majorHAnsi" w:cstheme="majorHAnsi"/>
        </w:rPr>
      </w:pPr>
      <w:r w:rsidRPr="00AF73C0">
        <w:rPr>
          <w:rFonts w:asciiTheme="majorHAnsi" w:eastAsia="Times New Roman" w:hAnsiTheme="majorHAnsi" w:cstheme="majorHAnsi"/>
        </w:rPr>
        <w:t>Explain how to correct a reticulocyte count to determine whether the bone marrow</w:t>
      </w:r>
      <w:r>
        <w:rPr>
          <w:rFonts w:asciiTheme="majorHAnsi" w:eastAsia="Times New Roman" w:hAnsiTheme="majorHAnsi" w:cstheme="majorHAnsi"/>
        </w:rPr>
        <w:t xml:space="preserve"> is responding adequately to an anemia or not.</w:t>
      </w:r>
      <w:r w:rsidRPr="00AF73C0">
        <w:rPr>
          <w:rFonts w:asciiTheme="majorHAnsi" w:eastAsia="Times New Roman" w:hAnsiTheme="majorHAnsi" w:cstheme="majorHAnsi"/>
        </w:rPr>
        <w:t xml:space="preserve"> </w:t>
      </w:r>
      <w:r>
        <w:rPr>
          <w:rFonts w:asciiTheme="majorHAnsi" w:eastAsia="Times New Roman" w:hAnsiTheme="majorHAnsi" w:cstheme="majorHAnsi"/>
        </w:rPr>
        <w:t>(the kinetic model)</w:t>
      </w:r>
    </w:p>
    <w:p w14:paraId="442A3282" w14:textId="77777777" w:rsidR="000566ED" w:rsidRDefault="000566ED" w:rsidP="000566ED">
      <w:pPr>
        <w:pStyle w:val="ListParagraph"/>
        <w:numPr>
          <w:ilvl w:val="0"/>
          <w:numId w:val="3"/>
        </w:numPr>
        <w:ind w:left="648"/>
        <w:rPr>
          <w:rFonts w:asciiTheme="majorHAnsi" w:eastAsia="Times New Roman" w:hAnsiTheme="majorHAnsi" w:cstheme="majorHAnsi"/>
        </w:rPr>
      </w:pPr>
      <w:r w:rsidRPr="002808B4">
        <w:rPr>
          <w:rFonts w:asciiTheme="majorHAnsi" w:eastAsia="Times New Roman" w:hAnsiTheme="majorHAnsi" w:cstheme="majorHAnsi"/>
        </w:rPr>
        <w:t>Give a differential diagnosis for m</w:t>
      </w:r>
      <w:r>
        <w:rPr>
          <w:rFonts w:asciiTheme="majorHAnsi" w:eastAsia="Times New Roman" w:hAnsiTheme="majorHAnsi" w:cstheme="majorHAnsi"/>
        </w:rPr>
        <w:t>icrocytic, normocytic, and macrocytic anemia.</w:t>
      </w:r>
      <w:r w:rsidRPr="002808B4">
        <w:rPr>
          <w:rFonts w:asciiTheme="majorHAnsi" w:eastAsia="Times New Roman" w:hAnsiTheme="majorHAnsi" w:cstheme="majorHAnsi"/>
        </w:rPr>
        <w:t xml:space="preserve"> </w:t>
      </w:r>
    </w:p>
    <w:p w14:paraId="21E08F54" w14:textId="77777777" w:rsidR="000566ED" w:rsidRPr="002808B4" w:rsidRDefault="000566ED" w:rsidP="000566ED">
      <w:pPr>
        <w:pStyle w:val="ListParagraph"/>
        <w:numPr>
          <w:ilvl w:val="0"/>
          <w:numId w:val="3"/>
        </w:numPr>
        <w:ind w:left="648"/>
        <w:rPr>
          <w:rFonts w:asciiTheme="majorHAnsi" w:eastAsia="Times New Roman" w:hAnsiTheme="majorHAnsi" w:cstheme="majorHAnsi"/>
        </w:rPr>
      </w:pPr>
      <w:r>
        <w:rPr>
          <w:rFonts w:asciiTheme="majorHAnsi" w:eastAsia="Times New Roman" w:hAnsiTheme="majorHAnsi" w:cstheme="majorHAnsi"/>
        </w:rPr>
        <w:t>Understand how to distinguish between iron deficiency anemia and anemia of inflammation (also called anemia of chronic disease).</w:t>
      </w:r>
    </w:p>
    <w:p w14:paraId="3EE744C9" w14:textId="77777777" w:rsidR="000566ED" w:rsidRPr="002808B4" w:rsidRDefault="000566ED" w:rsidP="000566ED">
      <w:pPr>
        <w:pStyle w:val="ListParagraph"/>
        <w:numPr>
          <w:ilvl w:val="0"/>
          <w:numId w:val="3"/>
        </w:numPr>
        <w:ind w:left="648"/>
        <w:rPr>
          <w:rFonts w:asciiTheme="majorHAnsi" w:eastAsia="Times New Roman" w:hAnsiTheme="majorHAnsi" w:cstheme="majorHAnsi"/>
        </w:rPr>
      </w:pPr>
      <w:r>
        <w:rPr>
          <w:rFonts w:asciiTheme="majorHAnsi" w:eastAsia="Times New Roman" w:hAnsiTheme="majorHAnsi" w:cstheme="majorHAnsi"/>
        </w:rPr>
        <w:t>Understand</w:t>
      </w:r>
      <w:r w:rsidRPr="002808B4">
        <w:rPr>
          <w:rFonts w:asciiTheme="majorHAnsi" w:eastAsia="Times New Roman" w:hAnsiTheme="majorHAnsi" w:cstheme="majorHAnsi"/>
        </w:rPr>
        <w:t xml:space="preserve"> how to diagnose alpha-thalassemia trait and beta-thalassemia trait based on </w:t>
      </w:r>
    </w:p>
    <w:p w14:paraId="4946A07F" w14:textId="77777777" w:rsidR="000566ED" w:rsidRPr="00AF73C0" w:rsidRDefault="000566ED" w:rsidP="000566ED">
      <w:pPr>
        <w:rPr>
          <w:rFonts w:asciiTheme="majorHAnsi" w:eastAsia="Times New Roman" w:hAnsiTheme="majorHAnsi" w:cstheme="majorHAnsi"/>
        </w:rPr>
      </w:pPr>
      <w:r>
        <w:rPr>
          <w:rFonts w:asciiTheme="majorHAnsi" w:eastAsia="Times New Roman" w:hAnsiTheme="majorHAnsi" w:cstheme="majorHAnsi"/>
        </w:rPr>
        <w:t xml:space="preserve">           </w:t>
      </w:r>
      <w:r w:rsidRPr="00AF73C0">
        <w:rPr>
          <w:rFonts w:asciiTheme="majorHAnsi" w:eastAsia="Times New Roman" w:hAnsiTheme="majorHAnsi" w:cstheme="majorHAnsi"/>
        </w:rPr>
        <w:t xml:space="preserve">clinical presentation and hemoglobin electrophoresis results. </w:t>
      </w:r>
    </w:p>
    <w:p w14:paraId="4558BBA6" w14:textId="4ACA9B74" w:rsidR="001E6DFB" w:rsidRPr="000566ED" w:rsidRDefault="000566ED" w:rsidP="001E6DFB">
      <w:pPr>
        <w:pStyle w:val="ListParagraph"/>
        <w:numPr>
          <w:ilvl w:val="0"/>
          <w:numId w:val="3"/>
        </w:numPr>
        <w:ind w:left="648"/>
        <w:rPr>
          <w:rFonts w:asciiTheme="majorHAnsi" w:eastAsia="Times New Roman" w:hAnsiTheme="majorHAnsi" w:cstheme="majorHAnsi"/>
        </w:rPr>
      </w:pPr>
      <w:r w:rsidRPr="002808B4">
        <w:rPr>
          <w:rFonts w:asciiTheme="majorHAnsi" w:eastAsia="Times New Roman" w:hAnsiTheme="majorHAnsi" w:cstheme="majorHAnsi"/>
        </w:rPr>
        <w:t xml:space="preserve">Describe the evaluation for suspected hemolytic anemia and the appropriate work up for hemolysis that is suspected due to mechanical destruction, immune destruction, or intrinsic red cell defects (hereditary or acquired). Know the findings on peripheral blood smear that are seen in microangiopathic anemia and autoimmune hemolytic anemia. </w:t>
      </w:r>
    </w:p>
    <w:p w14:paraId="0987745A" w14:textId="77777777" w:rsidR="001E6DFB" w:rsidRDefault="001E6DFB" w:rsidP="001E6DFB">
      <w:pPr>
        <w:pStyle w:val="xli1"/>
        <w:spacing w:before="0" w:beforeAutospacing="0" w:after="0" w:afterAutospacing="0"/>
        <w:rPr>
          <w:rFonts w:asciiTheme="majorHAnsi" w:hAnsiTheme="majorHAnsi" w:cstheme="majorHAnsi"/>
          <w:b/>
          <w:bCs/>
          <w:color w:val="212121"/>
          <w:u w:val="single"/>
        </w:rPr>
      </w:pPr>
    </w:p>
    <w:p w14:paraId="098F9B95" w14:textId="78239E93" w:rsidR="001E6DFB" w:rsidRDefault="001E6DFB" w:rsidP="001E6DFB">
      <w:pPr>
        <w:pStyle w:val="xli1"/>
        <w:spacing w:before="0" w:beforeAutospacing="0" w:after="0" w:afterAutospacing="0"/>
        <w:rPr>
          <w:rFonts w:asciiTheme="majorHAnsi" w:hAnsiTheme="majorHAnsi" w:cstheme="majorHAnsi"/>
          <w:b/>
          <w:bCs/>
          <w:color w:val="212121"/>
          <w:u w:val="single"/>
        </w:rPr>
      </w:pPr>
      <w:r>
        <w:rPr>
          <w:rFonts w:asciiTheme="majorHAnsi" w:hAnsiTheme="majorHAnsi" w:cstheme="majorHAnsi"/>
          <w:b/>
          <w:bCs/>
          <w:color w:val="212121"/>
          <w:u w:val="single"/>
        </w:rPr>
        <w:t>Anticoagulation Jeopardy</w:t>
      </w:r>
    </w:p>
    <w:p w14:paraId="655066F0" w14:textId="77777777" w:rsidR="001E6DFB" w:rsidRDefault="001E6DFB" w:rsidP="001E6DFB">
      <w:pPr>
        <w:pStyle w:val="xli1"/>
        <w:numPr>
          <w:ilvl w:val="0"/>
          <w:numId w:val="1"/>
        </w:numPr>
        <w:spacing w:before="0" w:beforeAutospacing="0" w:after="0" w:afterAutospacing="0"/>
        <w:rPr>
          <w:rFonts w:asciiTheme="majorHAnsi" w:hAnsiTheme="majorHAnsi" w:cstheme="majorHAnsi"/>
          <w:color w:val="212121"/>
        </w:rPr>
      </w:pPr>
      <w:r>
        <w:rPr>
          <w:rFonts w:asciiTheme="majorHAnsi" w:hAnsiTheme="majorHAnsi" w:cstheme="majorHAnsi"/>
          <w:color w:val="212121"/>
        </w:rPr>
        <w:t>Review the updated Chest Guidelines for Anticoagulation for VTE, August 2021.</w:t>
      </w:r>
    </w:p>
    <w:p w14:paraId="5889EDC9" w14:textId="77777777" w:rsidR="001E6DFB" w:rsidRDefault="001E6DFB" w:rsidP="001E6DFB">
      <w:pPr>
        <w:pStyle w:val="xli1"/>
        <w:numPr>
          <w:ilvl w:val="0"/>
          <w:numId w:val="1"/>
        </w:numPr>
        <w:spacing w:before="0" w:beforeAutospacing="0" w:after="0" w:afterAutospacing="0"/>
        <w:rPr>
          <w:rFonts w:asciiTheme="majorHAnsi" w:hAnsiTheme="majorHAnsi" w:cstheme="majorHAnsi"/>
          <w:color w:val="212121"/>
        </w:rPr>
      </w:pPr>
      <w:r>
        <w:rPr>
          <w:rFonts w:asciiTheme="majorHAnsi" w:hAnsiTheme="majorHAnsi" w:cstheme="majorHAnsi"/>
          <w:color w:val="212121"/>
        </w:rPr>
        <w:t>Review the Chest Guidelines for Anticoagulation for Atrial Fibrillation, November 2018.</w:t>
      </w:r>
    </w:p>
    <w:p w14:paraId="3E7427BD" w14:textId="77777777" w:rsidR="001E6DFB" w:rsidRDefault="001E6DFB" w:rsidP="001E6DFB">
      <w:pPr>
        <w:pStyle w:val="xli1"/>
        <w:numPr>
          <w:ilvl w:val="0"/>
          <w:numId w:val="1"/>
        </w:numPr>
        <w:spacing w:before="0" w:beforeAutospacing="0" w:after="0" w:afterAutospacing="0"/>
        <w:rPr>
          <w:rFonts w:asciiTheme="majorHAnsi" w:hAnsiTheme="majorHAnsi" w:cstheme="majorHAnsi"/>
          <w:color w:val="212121"/>
        </w:rPr>
      </w:pPr>
      <w:r>
        <w:rPr>
          <w:rFonts w:asciiTheme="majorHAnsi" w:hAnsiTheme="majorHAnsi" w:cstheme="majorHAnsi"/>
          <w:color w:val="212121"/>
        </w:rPr>
        <w:t>Review the updated Chest Guidelines for Perioperative management of Anticoagulation, August 2022.</w:t>
      </w:r>
    </w:p>
    <w:p w14:paraId="092550D6" w14:textId="77777777" w:rsidR="001E6DFB" w:rsidRPr="00AD14AF" w:rsidRDefault="001E6DFB" w:rsidP="001E6DFB">
      <w:pPr>
        <w:pStyle w:val="xli1"/>
        <w:numPr>
          <w:ilvl w:val="0"/>
          <w:numId w:val="1"/>
        </w:numPr>
        <w:spacing w:before="0" w:beforeAutospacing="0" w:after="0" w:afterAutospacing="0"/>
        <w:rPr>
          <w:rFonts w:asciiTheme="majorHAnsi" w:hAnsiTheme="majorHAnsi" w:cstheme="majorHAnsi"/>
          <w:color w:val="212121"/>
        </w:rPr>
      </w:pPr>
      <w:r>
        <w:rPr>
          <w:rFonts w:asciiTheme="majorHAnsi" w:hAnsiTheme="majorHAnsi" w:cstheme="majorHAnsi"/>
          <w:color w:val="212121"/>
        </w:rPr>
        <w:t>Review the 2020 ACC/AHA guidelines for anticoagulation in patients with prosthetic heart valves.</w:t>
      </w:r>
    </w:p>
    <w:p w14:paraId="779AC6AE" w14:textId="77777777" w:rsidR="001E6DFB" w:rsidRPr="00EB4239" w:rsidRDefault="001E6DFB" w:rsidP="001E6DFB">
      <w:pPr>
        <w:pStyle w:val="xp2"/>
        <w:spacing w:before="0" w:beforeAutospacing="0" w:after="0" w:afterAutospacing="0"/>
        <w:rPr>
          <w:rFonts w:asciiTheme="majorHAnsi" w:hAnsiTheme="majorHAnsi" w:cstheme="majorHAnsi"/>
          <w:color w:val="212121"/>
          <w:sz w:val="20"/>
          <w:szCs w:val="20"/>
        </w:rPr>
      </w:pPr>
      <w:r w:rsidRPr="00EB4239">
        <w:rPr>
          <w:rFonts w:asciiTheme="majorHAnsi" w:hAnsiTheme="majorHAnsi" w:cstheme="majorHAnsi"/>
          <w:color w:val="212121"/>
          <w:sz w:val="20"/>
          <w:szCs w:val="20"/>
        </w:rPr>
        <w:t> </w:t>
      </w:r>
    </w:p>
    <w:p w14:paraId="30BDC646" w14:textId="79E96333" w:rsidR="001E6DFB" w:rsidRPr="001E6DFB" w:rsidRDefault="001E6DFB" w:rsidP="001E6DFB">
      <w:pPr>
        <w:rPr>
          <w:b/>
          <w:bCs/>
          <w:u w:val="single"/>
        </w:rPr>
      </w:pPr>
    </w:p>
    <w:sectPr w:rsidR="001E6DFB" w:rsidRPr="001E6DFB"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F3682"/>
    <w:multiLevelType w:val="hybridMultilevel"/>
    <w:tmpl w:val="3C7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E3018"/>
    <w:multiLevelType w:val="hybridMultilevel"/>
    <w:tmpl w:val="7E6C8394"/>
    <w:lvl w:ilvl="0" w:tplc="AA1A4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A019F"/>
    <w:multiLevelType w:val="hybridMultilevel"/>
    <w:tmpl w:val="515E1668"/>
    <w:lvl w:ilvl="0" w:tplc="A62800B4">
      <w:start w:val="1"/>
      <w:numFmt w:val="decimal"/>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829637868">
    <w:abstractNumId w:val="0"/>
  </w:num>
  <w:num w:numId="2" w16cid:durableId="1113289278">
    <w:abstractNumId w:val="1"/>
  </w:num>
  <w:num w:numId="3" w16cid:durableId="814495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FB"/>
    <w:rsid w:val="00047796"/>
    <w:rsid w:val="000566ED"/>
    <w:rsid w:val="0015670B"/>
    <w:rsid w:val="001E6DFB"/>
    <w:rsid w:val="00371DD9"/>
    <w:rsid w:val="003748B3"/>
    <w:rsid w:val="0041555B"/>
    <w:rsid w:val="00B6416E"/>
    <w:rsid w:val="00F1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92034"/>
  <w15:chartTrackingRefBased/>
  <w15:docId w15:val="{75A986BF-34C4-D546-90A3-3BE2BBE2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D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D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D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D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DFB"/>
    <w:rPr>
      <w:rFonts w:eastAsiaTheme="majorEastAsia" w:cstheme="majorBidi"/>
      <w:color w:val="272727" w:themeColor="text1" w:themeTint="D8"/>
    </w:rPr>
  </w:style>
  <w:style w:type="paragraph" w:styleId="Title">
    <w:name w:val="Title"/>
    <w:basedOn w:val="Normal"/>
    <w:next w:val="Normal"/>
    <w:link w:val="TitleChar"/>
    <w:uiPriority w:val="10"/>
    <w:qFormat/>
    <w:rsid w:val="001E6D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D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D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DFB"/>
    <w:rPr>
      <w:i/>
      <w:iCs/>
      <w:color w:val="404040" w:themeColor="text1" w:themeTint="BF"/>
    </w:rPr>
  </w:style>
  <w:style w:type="paragraph" w:styleId="ListParagraph">
    <w:name w:val="List Paragraph"/>
    <w:basedOn w:val="Normal"/>
    <w:uiPriority w:val="34"/>
    <w:qFormat/>
    <w:rsid w:val="001E6DFB"/>
    <w:pPr>
      <w:ind w:left="720"/>
      <w:contextualSpacing/>
    </w:pPr>
  </w:style>
  <w:style w:type="character" w:styleId="IntenseEmphasis">
    <w:name w:val="Intense Emphasis"/>
    <w:basedOn w:val="DefaultParagraphFont"/>
    <w:uiPriority w:val="21"/>
    <w:qFormat/>
    <w:rsid w:val="001E6DFB"/>
    <w:rPr>
      <w:i/>
      <w:iCs/>
      <w:color w:val="0F4761" w:themeColor="accent1" w:themeShade="BF"/>
    </w:rPr>
  </w:style>
  <w:style w:type="paragraph" w:styleId="IntenseQuote">
    <w:name w:val="Intense Quote"/>
    <w:basedOn w:val="Normal"/>
    <w:next w:val="Normal"/>
    <w:link w:val="IntenseQuoteChar"/>
    <w:uiPriority w:val="30"/>
    <w:qFormat/>
    <w:rsid w:val="001E6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DFB"/>
    <w:rPr>
      <w:i/>
      <w:iCs/>
      <w:color w:val="0F4761" w:themeColor="accent1" w:themeShade="BF"/>
    </w:rPr>
  </w:style>
  <w:style w:type="character" w:styleId="IntenseReference">
    <w:name w:val="Intense Reference"/>
    <w:basedOn w:val="DefaultParagraphFont"/>
    <w:uiPriority w:val="32"/>
    <w:qFormat/>
    <w:rsid w:val="001E6DFB"/>
    <w:rPr>
      <w:b/>
      <w:bCs/>
      <w:smallCaps/>
      <w:color w:val="0F4761" w:themeColor="accent1" w:themeShade="BF"/>
      <w:spacing w:val="5"/>
    </w:rPr>
  </w:style>
  <w:style w:type="paragraph" w:customStyle="1" w:styleId="xli1">
    <w:name w:val="xli1"/>
    <w:basedOn w:val="Normal"/>
    <w:rsid w:val="001E6DFB"/>
    <w:pPr>
      <w:spacing w:before="100" w:beforeAutospacing="1" w:after="100" w:afterAutospacing="1"/>
    </w:pPr>
    <w:rPr>
      <w:rFonts w:ascii="Times New Roman" w:eastAsia="Times New Roman" w:hAnsi="Times New Roman" w:cs="Times New Roman"/>
      <w:kern w:val="0"/>
      <w14:ligatures w14:val="none"/>
    </w:rPr>
  </w:style>
  <w:style w:type="paragraph" w:customStyle="1" w:styleId="xp2">
    <w:name w:val="xp2"/>
    <w:basedOn w:val="Normal"/>
    <w:rsid w:val="001E6DF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Ron Shinar</cp:lastModifiedBy>
  <cp:revision>2</cp:revision>
  <dcterms:created xsi:type="dcterms:W3CDTF">2024-08-14T22:00:00Z</dcterms:created>
  <dcterms:modified xsi:type="dcterms:W3CDTF">2024-08-14T22:00:00Z</dcterms:modified>
</cp:coreProperties>
</file>